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65D" w:rsidRDefault="00D2765D" w:rsidP="00D2765D">
      <w:pPr>
        <w:jc w:val="center"/>
      </w:pPr>
    </w:p>
    <w:p w:rsidR="00D2765D" w:rsidRDefault="00D2765D" w:rsidP="00D2765D">
      <w:pPr>
        <w:jc w:val="center"/>
      </w:pPr>
    </w:p>
    <w:p w:rsidR="00D2765D" w:rsidRDefault="00D2765D" w:rsidP="00D2765D">
      <w:pPr>
        <w:jc w:val="center"/>
      </w:pPr>
    </w:p>
    <w:p w:rsidR="00D2765D" w:rsidRDefault="00D2765D" w:rsidP="00D2765D">
      <w:pPr>
        <w:jc w:val="center"/>
      </w:pPr>
    </w:p>
    <w:p w:rsidR="00D2765D" w:rsidRDefault="00D2765D" w:rsidP="00D2765D">
      <w:pPr>
        <w:jc w:val="center"/>
      </w:pPr>
    </w:p>
    <w:p w:rsidR="00D2765D" w:rsidRDefault="00D2765D" w:rsidP="00D2765D">
      <w:pPr>
        <w:jc w:val="center"/>
      </w:pPr>
    </w:p>
    <w:p w:rsidR="00D2765D" w:rsidRDefault="00D2765D" w:rsidP="00D2765D">
      <w:pPr>
        <w:jc w:val="center"/>
      </w:pPr>
    </w:p>
    <w:p w:rsidR="005A6E91" w:rsidRDefault="00D2765D" w:rsidP="00D2765D">
      <w:pPr>
        <w:jc w:val="center"/>
      </w:pPr>
      <w:bookmarkStart w:id="0" w:name="_GoBack"/>
      <w:r>
        <w:t>Waste Management</w:t>
      </w:r>
    </w:p>
    <w:bookmarkEnd w:id="0"/>
    <w:p w:rsidR="00D2765D" w:rsidRDefault="00D2765D" w:rsidP="00D2765D">
      <w:pPr>
        <w:jc w:val="center"/>
      </w:pPr>
      <w:r>
        <w:t>Student’s Name</w:t>
      </w:r>
    </w:p>
    <w:p w:rsidR="00D2765D" w:rsidRDefault="00D2765D" w:rsidP="00D2765D">
      <w:pPr>
        <w:jc w:val="center"/>
      </w:pPr>
      <w:r>
        <w:t>Institution</w:t>
      </w:r>
    </w:p>
    <w:p w:rsidR="00D2765D" w:rsidRDefault="00D2765D">
      <w:pPr>
        <w:spacing w:line="276" w:lineRule="auto"/>
      </w:pPr>
      <w:r>
        <w:br w:type="page"/>
      </w:r>
    </w:p>
    <w:p w:rsidR="00D2765D" w:rsidRDefault="00D2765D" w:rsidP="00D2765D">
      <w:pPr>
        <w:jc w:val="center"/>
      </w:pPr>
      <w:r>
        <w:lastRenderedPageBreak/>
        <w:t>Waste Management</w:t>
      </w:r>
    </w:p>
    <w:p w:rsidR="00D2765D" w:rsidRDefault="00D2765D" w:rsidP="00D2765D">
      <w:r>
        <w:t>Introduction</w:t>
      </w:r>
    </w:p>
    <w:p w:rsidR="00D2765D" w:rsidRDefault="00D2765D" w:rsidP="00D2765D">
      <w:pPr>
        <w:ind w:firstLine="720"/>
      </w:pPr>
      <w:r>
        <w:t>In the United States, solid waste management is of great concern to the general public due to the high increase of solid waste generation, reduction of disposal capacity, elevating disposal costs as well as the opposition of the sitting of new disposal facilities by the public. Therefore, RCRA established a framework that ensures proper management of hazardous waste. EPA has attained approval from RCRA and has instituted a comprehensive regulated program that properly manages hazardous waste from cradle to grave – the time wastes are generated, it becomes transported, treated, stored and ultimately disposed of.</w:t>
      </w:r>
    </w:p>
    <w:p w:rsidR="00D2765D" w:rsidRDefault="00D2765D" w:rsidP="00D2765D">
      <w:pPr>
        <w:ind w:firstLine="720"/>
      </w:pPr>
      <w:r>
        <w:t>The Congress passed the Resource Conservation and Recovery Act (RCRA) and the Comprehensive Environmental Response, Compensation, and Liability Act (CERCLA) into law to ensure the Environmental Protection Agency (EPA) regulated proper management of hazardous wastes. EPA is mandated to offer protection to human health as well as the environment</w:t>
      </w:r>
      <w:r w:rsidRPr="00493152">
        <w:rPr>
          <w:rFonts w:eastAsia="Times New Roman" w:cs="Times New Roman"/>
          <w:szCs w:val="24"/>
        </w:rPr>
        <w:t xml:space="preserve"> </w:t>
      </w:r>
      <w:r>
        <w:rPr>
          <w:rFonts w:eastAsia="Times New Roman" w:cs="Times New Roman"/>
          <w:szCs w:val="24"/>
        </w:rPr>
        <w:t>(Liévanos, 2019)</w:t>
      </w:r>
      <w:r>
        <w:t>. The main purposes that the Congress intended EPA to regulate were multiple. Firstly, EPA ought to ensure that Americans are protected from pollutions by accessing clean air, land and water. Secondly, EPA has to administer and fairly enforce federal laws protecting human health along with the environment. Thirdly, Congress aimed at making sure that chemicals within the marketplace would become reviewed to ensure they posed no risk to people and the environment.</w:t>
      </w:r>
    </w:p>
    <w:p w:rsidR="00D2765D" w:rsidRDefault="00D2765D" w:rsidP="00D2765D">
      <w:pPr>
        <w:jc w:val="center"/>
      </w:pPr>
      <w:r>
        <w:t>Objectives of RCRA and CERCLA</w:t>
      </w:r>
    </w:p>
    <w:tbl>
      <w:tblPr>
        <w:tblStyle w:val="TableGrid"/>
        <w:tblW w:w="0" w:type="auto"/>
        <w:tblLook w:val="04A0" w:firstRow="1" w:lastRow="0" w:firstColumn="1" w:lastColumn="0" w:noHBand="0" w:noVBand="1"/>
      </w:tblPr>
      <w:tblGrid>
        <w:gridCol w:w="4678"/>
        <w:gridCol w:w="4672"/>
      </w:tblGrid>
      <w:tr w:rsidR="00D2765D" w:rsidTr="0044167F">
        <w:tc>
          <w:tcPr>
            <w:tcW w:w="4788" w:type="dxa"/>
          </w:tcPr>
          <w:p w:rsidR="00D2765D" w:rsidRDefault="00D2765D" w:rsidP="0044167F">
            <w:r>
              <w:t>RCRA</w:t>
            </w:r>
          </w:p>
        </w:tc>
        <w:tc>
          <w:tcPr>
            <w:tcW w:w="4788" w:type="dxa"/>
          </w:tcPr>
          <w:p w:rsidR="00D2765D" w:rsidRDefault="00D2765D" w:rsidP="0044167F">
            <w:r>
              <w:t>CERCLA</w:t>
            </w:r>
          </w:p>
        </w:tc>
      </w:tr>
      <w:tr w:rsidR="00D2765D" w:rsidTr="0044167F">
        <w:tc>
          <w:tcPr>
            <w:tcW w:w="4788" w:type="dxa"/>
          </w:tcPr>
          <w:p w:rsidR="00D2765D" w:rsidRDefault="00D2765D" w:rsidP="0044167F">
            <w:pPr>
              <w:pStyle w:val="ListParagraph"/>
              <w:numPr>
                <w:ilvl w:val="0"/>
                <w:numId w:val="1"/>
              </w:numPr>
            </w:pPr>
            <w:r>
              <w:lastRenderedPageBreak/>
              <w:t>Institutes a national system of controlling solid wastes</w:t>
            </w:r>
          </w:p>
          <w:p w:rsidR="00D2765D" w:rsidRPr="00E13259" w:rsidRDefault="00D2765D" w:rsidP="0044167F">
            <w:pPr>
              <w:pStyle w:val="ListParagraph"/>
              <w:numPr>
                <w:ilvl w:val="0"/>
                <w:numId w:val="1"/>
              </w:numPr>
            </w:pPr>
            <w:r>
              <w:t>Preventing contamination of the environment with wastes</w:t>
            </w:r>
          </w:p>
        </w:tc>
        <w:tc>
          <w:tcPr>
            <w:tcW w:w="4788" w:type="dxa"/>
          </w:tcPr>
          <w:p w:rsidR="00D2765D" w:rsidRDefault="00D2765D" w:rsidP="0044167F">
            <w:pPr>
              <w:pStyle w:val="ListParagraph"/>
              <w:numPr>
                <w:ilvl w:val="0"/>
                <w:numId w:val="1"/>
              </w:numPr>
            </w:pPr>
            <w:r>
              <w:t>Sets up prohibitions and requirements regarding abandoned hazardous waste sites</w:t>
            </w:r>
          </w:p>
          <w:p w:rsidR="00D2765D" w:rsidRPr="00E13259" w:rsidRDefault="00D2765D" w:rsidP="0044167F">
            <w:pPr>
              <w:pStyle w:val="ListParagraph"/>
              <w:numPr>
                <w:ilvl w:val="0"/>
                <w:numId w:val="1"/>
              </w:numPr>
            </w:pPr>
            <w:r>
              <w:t>Grant a regulatory mechanism in response to threats to human life and environment due to abandoned waste sites</w:t>
            </w:r>
          </w:p>
        </w:tc>
      </w:tr>
    </w:tbl>
    <w:p w:rsidR="00D2765D" w:rsidRDefault="00D2765D" w:rsidP="00D2765D">
      <w:pPr>
        <w:ind w:firstLine="720"/>
      </w:pPr>
      <w:r w:rsidRPr="00C10BC6">
        <w:t>The RCRA has the objective of establishing a national system of controlling solid wastes. This objective addresses the purpose of the regulation through ensuring proper discarding of hazardous and non-hazardous wastes. CERCLA’s objective of setting up prohibitions and requirements with regards to closed or abandoned hazardous waste sites addresses the purpose of the regulation by ensuring that there is an assessment of the contamination of waste sites.</w:t>
      </w:r>
    </w:p>
    <w:p w:rsidR="00D2765D" w:rsidRDefault="00D2765D" w:rsidP="00D2765D">
      <w:pPr>
        <w:jc w:val="center"/>
      </w:pPr>
      <w:r>
        <w:t>Categories of Solid Waste Generators</w:t>
      </w:r>
    </w:p>
    <w:p w:rsidR="00D2765D" w:rsidRDefault="00D2765D" w:rsidP="00D2765D">
      <w:pPr>
        <w:ind w:firstLine="720"/>
      </w:pPr>
      <w:r>
        <w:t xml:space="preserve">EPA established three categories of generators in the regulations recognizing that generators produce waste in different quantities. They include very small quantity generators, small quantity generators and large quantity generators. </w:t>
      </w:r>
    </w:p>
    <w:p w:rsidR="00D2765D" w:rsidRDefault="00D2765D" w:rsidP="00D2765D">
      <w:pPr>
        <w:pStyle w:val="ListParagraph"/>
        <w:numPr>
          <w:ilvl w:val="0"/>
          <w:numId w:val="4"/>
        </w:numPr>
      </w:pPr>
      <w:r>
        <w:t>Very Small Quantity Generators (VSQGs)</w:t>
      </w:r>
    </w:p>
    <w:p w:rsidR="00D2765D" w:rsidRDefault="00D2765D" w:rsidP="00D2765D">
      <w:pPr>
        <w:ind w:firstLine="720"/>
      </w:pPr>
      <w:r>
        <w:t xml:space="preserve">These generators produce 100 kilograms or less every month of hazardous waste. Alternatively, they may generate one kilogram or less every month of extremely hazardous waste. VSQGs have diverse requirements. </w:t>
      </w:r>
    </w:p>
    <w:p w:rsidR="00D2765D" w:rsidRDefault="00D2765D" w:rsidP="00D2765D">
      <w:pPr>
        <w:pStyle w:val="ListParagraph"/>
        <w:numPr>
          <w:ilvl w:val="0"/>
          <w:numId w:val="2"/>
        </w:numPr>
      </w:pPr>
      <w:r>
        <w:t>They ought to recognize all the generated hazardous waste.</w:t>
      </w:r>
    </w:p>
    <w:p w:rsidR="00D2765D" w:rsidRDefault="00D2765D" w:rsidP="00D2765D">
      <w:pPr>
        <w:pStyle w:val="ListParagraph"/>
        <w:numPr>
          <w:ilvl w:val="0"/>
          <w:numId w:val="2"/>
        </w:numPr>
      </w:pPr>
      <w:r>
        <w:t>They may not have the capacity of accumulating hazardous wastes that exceed 1,000 kilograms at any time.</w:t>
      </w:r>
    </w:p>
    <w:p w:rsidR="00D2765D" w:rsidRDefault="00D2765D" w:rsidP="00D2765D">
      <w:pPr>
        <w:pStyle w:val="ListParagraph"/>
        <w:numPr>
          <w:ilvl w:val="0"/>
          <w:numId w:val="4"/>
        </w:numPr>
      </w:pPr>
      <w:r>
        <w:t>Small Quantity Generators (SQGs)</w:t>
      </w:r>
    </w:p>
    <w:p w:rsidR="00D2765D" w:rsidRDefault="00D2765D" w:rsidP="00D2765D">
      <w:pPr>
        <w:ind w:firstLine="720"/>
      </w:pPr>
      <w:r>
        <w:lastRenderedPageBreak/>
        <w:t>The generators generate hazardous waste that surpasses 100 kilograms however is less than 1,000 kilograms every month. The requirements of SQGs are as follows:</w:t>
      </w:r>
    </w:p>
    <w:p w:rsidR="00D2765D" w:rsidRDefault="00D2765D" w:rsidP="00D2765D">
      <w:pPr>
        <w:pStyle w:val="ListParagraph"/>
        <w:numPr>
          <w:ilvl w:val="0"/>
          <w:numId w:val="3"/>
        </w:numPr>
      </w:pPr>
      <w:r>
        <w:t>SQGs have to be in compliance with the hazardous waste manifest requirements at 40 CFR part 262, subpart B as well as the pre-transport requirements at 40 CFR sections 262.30 via 262.33.</w:t>
      </w:r>
    </w:p>
    <w:p w:rsidR="00D2765D" w:rsidRDefault="00D2765D" w:rsidP="00D2765D">
      <w:pPr>
        <w:pStyle w:val="ListParagraph"/>
        <w:numPr>
          <w:ilvl w:val="0"/>
          <w:numId w:val="3"/>
        </w:numPr>
      </w:pPr>
      <w:r>
        <w:t>ii. SQGs can amass hazardous waste on-site for a period of 180 days without having a permit.</w:t>
      </w:r>
    </w:p>
    <w:p w:rsidR="00D2765D" w:rsidRDefault="00D2765D" w:rsidP="00D2765D">
      <w:pPr>
        <w:pStyle w:val="Heading2"/>
        <w:numPr>
          <w:ilvl w:val="0"/>
          <w:numId w:val="4"/>
        </w:numPr>
        <w:rPr>
          <w:b w:val="0"/>
          <w:sz w:val="24"/>
          <w:szCs w:val="24"/>
        </w:rPr>
      </w:pPr>
      <w:r w:rsidRPr="00CB543E">
        <w:rPr>
          <w:b w:val="0"/>
          <w:sz w:val="24"/>
          <w:szCs w:val="24"/>
        </w:rPr>
        <w:t xml:space="preserve"> Large Quantity Generators (LQGs)</w:t>
      </w:r>
    </w:p>
    <w:p w:rsidR="00D2765D" w:rsidRDefault="00D2765D" w:rsidP="00D2765D">
      <w:pPr>
        <w:pStyle w:val="Heading2"/>
        <w:spacing w:line="480" w:lineRule="auto"/>
        <w:ind w:firstLine="720"/>
        <w:rPr>
          <w:b w:val="0"/>
          <w:sz w:val="24"/>
          <w:szCs w:val="24"/>
        </w:rPr>
      </w:pPr>
      <w:r w:rsidRPr="00CB543E">
        <w:rPr>
          <w:b w:val="0"/>
          <w:sz w:val="24"/>
          <w:szCs w:val="24"/>
        </w:rPr>
        <w:t>These generators generate every month 1000 kilograms of hazardous waste or even more. They can also generate more than one kilogram per month of extremely hazardous waste.</w:t>
      </w:r>
    </w:p>
    <w:p w:rsidR="00D2765D" w:rsidRDefault="00D2765D" w:rsidP="00D2765D">
      <w:pPr>
        <w:pStyle w:val="Heading2"/>
        <w:spacing w:line="480" w:lineRule="auto"/>
        <w:ind w:firstLine="720"/>
        <w:rPr>
          <w:b w:val="0"/>
          <w:bCs w:val="0"/>
          <w:color w:val="1C1E29"/>
          <w:sz w:val="24"/>
          <w:szCs w:val="24"/>
        </w:rPr>
      </w:pPr>
      <w:r w:rsidRPr="0026192B">
        <w:rPr>
          <w:b w:val="0"/>
          <w:bCs w:val="0"/>
          <w:color w:val="1C1E29"/>
          <w:sz w:val="24"/>
          <w:szCs w:val="24"/>
        </w:rPr>
        <w:t>The recordkeeping program that I would employ to ensure that waste generators are properly classified each month includes keeping records of the test result, waste analyses or other determinations made according to §262.11 for the minimum period of three years</w:t>
      </w:r>
      <w:r w:rsidRPr="00493152">
        <w:rPr>
          <w:szCs w:val="24"/>
        </w:rPr>
        <w:t xml:space="preserve"> </w:t>
      </w:r>
      <w:r w:rsidRPr="005D182E">
        <w:rPr>
          <w:b w:val="0"/>
          <w:sz w:val="24"/>
          <w:szCs w:val="24"/>
        </w:rPr>
        <w:t>(</w:t>
      </w:r>
      <w:r>
        <w:rPr>
          <w:b w:val="0"/>
          <w:sz w:val="24"/>
          <w:szCs w:val="24"/>
        </w:rPr>
        <w:t xml:space="preserve">Kaelin, </w:t>
      </w:r>
      <w:r w:rsidRPr="00493152">
        <w:rPr>
          <w:b w:val="0"/>
          <w:sz w:val="24"/>
          <w:szCs w:val="24"/>
        </w:rPr>
        <w:t>2019)</w:t>
      </w:r>
      <w:r w:rsidRPr="00493152">
        <w:rPr>
          <w:b w:val="0"/>
          <w:bCs w:val="0"/>
          <w:color w:val="1C1E29"/>
          <w:sz w:val="24"/>
          <w:szCs w:val="24"/>
        </w:rPr>
        <w:t xml:space="preserve">. </w:t>
      </w:r>
      <w:r w:rsidRPr="0026192B">
        <w:rPr>
          <w:b w:val="0"/>
          <w:bCs w:val="0"/>
          <w:color w:val="1C1E29"/>
          <w:sz w:val="24"/>
          <w:szCs w:val="24"/>
        </w:rPr>
        <w:t>I would structure a hazardous waste management program to build the required flexibility at a facility to manage monthly changes to RCRA classification through various steps. Firstly, I will ensure the generation of wastes is properly regulated through installing leaking underground tanks. Secondly, the wastes become transported to places of treatment or incineration and then disposed of in a secure chemical landfill.</w:t>
      </w:r>
    </w:p>
    <w:p w:rsidR="00D2765D" w:rsidRDefault="00D2765D" w:rsidP="00D2765D">
      <w:pPr>
        <w:pStyle w:val="Heading2"/>
        <w:spacing w:line="480" w:lineRule="auto"/>
        <w:ind w:firstLine="720"/>
        <w:jc w:val="center"/>
        <w:rPr>
          <w:b w:val="0"/>
          <w:bCs w:val="0"/>
          <w:color w:val="1C1E29"/>
          <w:sz w:val="24"/>
          <w:szCs w:val="24"/>
        </w:rPr>
      </w:pPr>
    </w:p>
    <w:p w:rsidR="00D2765D" w:rsidRDefault="00D2765D" w:rsidP="00D2765D">
      <w:pPr>
        <w:pStyle w:val="Heading2"/>
        <w:spacing w:line="480" w:lineRule="auto"/>
        <w:ind w:firstLine="720"/>
        <w:jc w:val="center"/>
        <w:rPr>
          <w:b w:val="0"/>
          <w:bCs w:val="0"/>
          <w:color w:val="1C1E29"/>
          <w:sz w:val="24"/>
          <w:szCs w:val="24"/>
        </w:rPr>
      </w:pPr>
    </w:p>
    <w:p w:rsidR="00D2765D" w:rsidRDefault="00D2765D" w:rsidP="00D2765D">
      <w:pPr>
        <w:pStyle w:val="Heading2"/>
        <w:spacing w:line="480" w:lineRule="auto"/>
        <w:ind w:firstLine="720"/>
        <w:jc w:val="center"/>
        <w:rPr>
          <w:b w:val="0"/>
          <w:bCs w:val="0"/>
          <w:color w:val="1C1E29"/>
          <w:sz w:val="24"/>
          <w:szCs w:val="24"/>
        </w:rPr>
      </w:pPr>
    </w:p>
    <w:p w:rsidR="00D2765D" w:rsidRDefault="00D2765D" w:rsidP="00D2765D">
      <w:pPr>
        <w:pStyle w:val="Heading2"/>
        <w:spacing w:line="480" w:lineRule="auto"/>
        <w:ind w:firstLine="720"/>
        <w:jc w:val="center"/>
        <w:rPr>
          <w:b w:val="0"/>
          <w:bCs w:val="0"/>
          <w:color w:val="1C1E29"/>
          <w:sz w:val="24"/>
          <w:szCs w:val="24"/>
        </w:rPr>
      </w:pPr>
      <w:r>
        <w:rPr>
          <w:b w:val="0"/>
          <w:bCs w:val="0"/>
          <w:color w:val="1C1E29"/>
          <w:sz w:val="24"/>
          <w:szCs w:val="24"/>
        </w:rPr>
        <w:lastRenderedPageBreak/>
        <w:t>References</w:t>
      </w:r>
    </w:p>
    <w:p w:rsidR="00D2765D" w:rsidRPr="00493152" w:rsidRDefault="00D2765D" w:rsidP="00D2765D">
      <w:pPr>
        <w:spacing w:after="0"/>
        <w:ind w:left="720" w:hanging="720"/>
        <w:rPr>
          <w:rFonts w:eastAsia="Times New Roman" w:cs="Times New Roman"/>
          <w:szCs w:val="24"/>
        </w:rPr>
      </w:pPr>
      <w:r w:rsidRPr="00493152">
        <w:rPr>
          <w:rFonts w:eastAsia="Times New Roman" w:cs="Times New Roman"/>
          <w:szCs w:val="24"/>
        </w:rPr>
        <w:t xml:space="preserve">Kaelin, A. B. (2019). IN EFFECT AND BEING ENFORCED: HAZARDOUS WASTE GENERATOR IMPROVEMENT REGULATIONS. </w:t>
      </w:r>
      <w:r w:rsidRPr="00493152">
        <w:rPr>
          <w:rFonts w:eastAsia="Times New Roman" w:cs="Times New Roman"/>
          <w:i/>
          <w:iCs/>
          <w:szCs w:val="24"/>
        </w:rPr>
        <w:t>Journal of Protective Coatings &amp; Linings</w:t>
      </w:r>
      <w:r w:rsidRPr="00493152">
        <w:rPr>
          <w:rFonts w:eastAsia="Times New Roman" w:cs="Times New Roman"/>
          <w:szCs w:val="24"/>
        </w:rPr>
        <w:t xml:space="preserve">, </w:t>
      </w:r>
      <w:r w:rsidRPr="00493152">
        <w:rPr>
          <w:rFonts w:eastAsia="Times New Roman" w:cs="Times New Roman"/>
          <w:i/>
          <w:iCs/>
          <w:szCs w:val="24"/>
        </w:rPr>
        <w:t>36</w:t>
      </w:r>
      <w:r w:rsidRPr="00493152">
        <w:rPr>
          <w:rFonts w:eastAsia="Times New Roman" w:cs="Times New Roman"/>
          <w:szCs w:val="24"/>
        </w:rPr>
        <w:t>(2), 15-17.</w:t>
      </w:r>
    </w:p>
    <w:p w:rsidR="00D2765D" w:rsidRPr="00493152" w:rsidRDefault="00D2765D" w:rsidP="00D2765D">
      <w:pPr>
        <w:spacing w:after="0"/>
        <w:ind w:left="720" w:hanging="720"/>
        <w:rPr>
          <w:rFonts w:eastAsia="Times New Roman" w:cs="Times New Roman"/>
          <w:szCs w:val="24"/>
        </w:rPr>
      </w:pPr>
      <w:r w:rsidRPr="00493152">
        <w:rPr>
          <w:rFonts w:eastAsia="Times New Roman" w:cs="Times New Roman"/>
          <w:szCs w:val="24"/>
        </w:rPr>
        <w:t xml:space="preserve">Liévanos, R. S. (2019). Air-Toxic Clusters Revisited: Intersectional Environmental Inequalities and Indigenous Deprivation in the US Environmental Protection Agency Regions. </w:t>
      </w:r>
      <w:r w:rsidRPr="00493152">
        <w:rPr>
          <w:rFonts w:eastAsia="Times New Roman" w:cs="Times New Roman"/>
          <w:i/>
          <w:iCs/>
          <w:szCs w:val="24"/>
        </w:rPr>
        <w:t>Race and Social Problems</w:t>
      </w:r>
      <w:r w:rsidRPr="00493152">
        <w:rPr>
          <w:rFonts w:eastAsia="Times New Roman" w:cs="Times New Roman"/>
          <w:szCs w:val="24"/>
        </w:rPr>
        <w:t xml:space="preserve">, </w:t>
      </w:r>
      <w:r w:rsidRPr="00493152">
        <w:rPr>
          <w:rFonts w:eastAsia="Times New Roman" w:cs="Times New Roman"/>
          <w:i/>
          <w:iCs/>
          <w:szCs w:val="24"/>
        </w:rPr>
        <w:t>11</w:t>
      </w:r>
      <w:r w:rsidRPr="00493152">
        <w:rPr>
          <w:rFonts w:eastAsia="Times New Roman" w:cs="Times New Roman"/>
          <w:szCs w:val="24"/>
        </w:rPr>
        <w:t>(2), 161-184.</w:t>
      </w:r>
    </w:p>
    <w:p w:rsidR="00D2765D" w:rsidRPr="0026192B" w:rsidRDefault="00D2765D" w:rsidP="00D2765D">
      <w:pPr>
        <w:pStyle w:val="Heading2"/>
        <w:spacing w:line="480" w:lineRule="auto"/>
        <w:rPr>
          <w:b w:val="0"/>
          <w:sz w:val="24"/>
          <w:szCs w:val="24"/>
        </w:rPr>
      </w:pPr>
    </w:p>
    <w:p w:rsidR="00CB543E" w:rsidRPr="00CB543E" w:rsidRDefault="00112FB7" w:rsidP="00D2765D">
      <w:pPr>
        <w:rPr>
          <w:szCs w:val="24"/>
        </w:rPr>
      </w:pPr>
    </w:p>
    <w:p w:rsidR="00D2765D" w:rsidRPr="00A11C0C" w:rsidRDefault="00D2765D" w:rsidP="00D2765D">
      <w:pPr>
        <w:pStyle w:val="Heading2"/>
        <w:spacing w:line="480" w:lineRule="auto"/>
        <w:ind w:firstLine="360"/>
        <w:rPr>
          <w:b w:val="0"/>
          <w:sz w:val="24"/>
          <w:szCs w:val="24"/>
        </w:rPr>
      </w:pPr>
    </w:p>
    <w:p w:rsidR="00D2765D" w:rsidRDefault="00D2765D" w:rsidP="00D2765D">
      <w:pPr>
        <w:ind w:firstLine="720"/>
      </w:pPr>
    </w:p>
    <w:p w:rsidR="00D2765D" w:rsidRDefault="00D2765D" w:rsidP="00D2765D">
      <w:pPr>
        <w:jc w:val="center"/>
      </w:pPr>
    </w:p>
    <w:p w:rsidR="00D2765D" w:rsidRPr="00D2765D" w:rsidRDefault="00D2765D" w:rsidP="00D2765D"/>
    <w:sectPr w:rsidR="00D2765D" w:rsidRPr="00D2765D" w:rsidSect="00D276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FB7" w:rsidRDefault="00112FB7" w:rsidP="00165F23">
      <w:pPr>
        <w:spacing w:after="0" w:line="240" w:lineRule="auto"/>
      </w:pPr>
      <w:r>
        <w:separator/>
      </w:r>
    </w:p>
  </w:endnote>
  <w:endnote w:type="continuationSeparator" w:id="0">
    <w:p w:rsidR="00112FB7" w:rsidRDefault="00112FB7" w:rsidP="00165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FB7" w:rsidRDefault="00112FB7" w:rsidP="00165F23">
      <w:pPr>
        <w:spacing w:after="0" w:line="240" w:lineRule="auto"/>
      </w:pPr>
      <w:r>
        <w:separator/>
      </w:r>
    </w:p>
  </w:footnote>
  <w:footnote w:type="continuationSeparator" w:id="0">
    <w:p w:rsidR="00112FB7" w:rsidRDefault="00112FB7" w:rsidP="00165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757672"/>
      <w:docPartObj>
        <w:docPartGallery w:val="Page Numbers (Top of Page)"/>
        <w:docPartUnique/>
      </w:docPartObj>
    </w:sdtPr>
    <w:sdtEndPr/>
    <w:sdtContent>
      <w:p w:rsidR="00D2765D" w:rsidRDefault="00D2765D">
        <w:pPr>
          <w:pStyle w:val="Header"/>
          <w:jc w:val="right"/>
        </w:pPr>
        <w:r>
          <w:t>WASTE MANAGEMENT</w:t>
        </w:r>
        <w:r>
          <w:tab/>
        </w:r>
        <w:r>
          <w:tab/>
        </w:r>
        <w:r w:rsidR="00112FB7">
          <w:fldChar w:fldCharType="begin"/>
        </w:r>
        <w:r w:rsidR="00112FB7">
          <w:instrText xml:space="preserve"> PAGE   \* MERGEFORMAT </w:instrText>
        </w:r>
        <w:r w:rsidR="00112FB7">
          <w:fldChar w:fldCharType="separate"/>
        </w:r>
        <w:r w:rsidR="00087F38">
          <w:rPr>
            <w:noProof/>
          </w:rPr>
          <w:t>2</w:t>
        </w:r>
        <w:r w:rsidR="00112FB7">
          <w:rPr>
            <w:noProof/>
          </w:rPr>
          <w:fldChar w:fldCharType="end"/>
        </w:r>
      </w:p>
    </w:sdtContent>
  </w:sdt>
  <w:p w:rsidR="00D2765D" w:rsidRDefault="00D276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5D" w:rsidRDefault="00D2765D">
    <w:pPr>
      <w:pStyle w:val="Header"/>
    </w:pPr>
    <w:r>
      <w:t>Running Head: WASTE MANAGEMENT</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20DF4"/>
    <w:multiLevelType w:val="hybridMultilevel"/>
    <w:tmpl w:val="EB90AD6C"/>
    <w:lvl w:ilvl="0" w:tplc="0A524E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386960"/>
    <w:multiLevelType w:val="hybridMultilevel"/>
    <w:tmpl w:val="DC8A1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3A3F3F"/>
    <w:multiLevelType w:val="hybridMultilevel"/>
    <w:tmpl w:val="6032DF1E"/>
    <w:lvl w:ilvl="0" w:tplc="E0687F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7E0D9F"/>
    <w:multiLevelType w:val="hybridMultilevel"/>
    <w:tmpl w:val="CB5C04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27"/>
    <w:rsid w:val="00087F38"/>
    <w:rsid w:val="000C5A27"/>
    <w:rsid w:val="00112FB7"/>
    <w:rsid w:val="00165F23"/>
    <w:rsid w:val="001B1E3E"/>
    <w:rsid w:val="001D75A9"/>
    <w:rsid w:val="002147BD"/>
    <w:rsid w:val="0026192B"/>
    <w:rsid w:val="002C3903"/>
    <w:rsid w:val="00493152"/>
    <w:rsid w:val="00504486"/>
    <w:rsid w:val="0054799E"/>
    <w:rsid w:val="00553B80"/>
    <w:rsid w:val="005A6E91"/>
    <w:rsid w:val="005D182E"/>
    <w:rsid w:val="006E1396"/>
    <w:rsid w:val="00707C6A"/>
    <w:rsid w:val="0078453C"/>
    <w:rsid w:val="007C2B02"/>
    <w:rsid w:val="008A2327"/>
    <w:rsid w:val="0090000F"/>
    <w:rsid w:val="009D05A9"/>
    <w:rsid w:val="009F0994"/>
    <w:rsid w:val="00A11C0C"/>
    <w:rsid w:val="00A14797"/>
    <w:rsid w:val="00C029CE"/>
    <w:rsid w:val="00C10BC6"/>
    <w:rsid w:val="00C74955"/>
    <w:rsid w:val="00D16855"/>
    <w:rsid w:val="00D2765D"/>
    <w:rsid w:val="00D456F7"/>
    <w:rsid w:val="00DB7219"/>
    <w:rsid w:val="00E13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F4AD05-A2BB-4CC8-A459-CE33C0902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C6A"/>
    <w:pPr>
      <w:spacing w:line="480" w:lineRule="auto"/>
    </w:pPr>
    <w:rPr>
      <w:rFonts w:ascii="Times New Roman" w:hAnsi="Times New Roman"/>
      <w:sz w:val="24"/>
    </w:rPr>
  </w:style>
  <w:style w:type="paragraph" w:styleId="Heading2">
    <w:name w:val="heading 2"/>
    <w:basedOn w:val="Normal"/>
    <w:link w:val="Heading2Char"/>
    <w:uiPriority w:val="9"/>
    <w:qFormat/>
    <w:rsid w:val="00553B8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32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13259"/>
    <w:pPr>
      <w:ind w:left="720"/>
      <w:contextualSpacing/>
    </w:pPr>
  </w:style>
  <w:style w:type="paragraph" w:styleId="Header">
    <w:name w:val="header"/>
    <w:basedOn w:val="Normal"/>
    <w:link w:val="HeaderChar"/>
    <w:uiPriority w:val="99"/>
    <w:unhideWhenUsed/>
    <w:rsid w:val="00165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F23"/>
    <w:rPr>
      <w:rFonts w:ascii="Times New Roman" w:hAnsi="Times New Roman"/>
      <w:sz w:val="24"/>
    </w:rPr>
  </w:style>
  <w:style w:type="paragraph" w:styleId="Footer">
    <w:name w:val="footer"/>
    <w:basedOn w:val="Normal"/>
    <w:link w:val="FooterChar"/>
    <w:uiPriority w:val="99"/>
    <w:semiHidden/>
    <w:unhideWhenUsed/>
    <w:rsid w:val="00165F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5F23"/>
    <w:rPr>
      <w:rFonts w:ascii="Times New Roman" w:hAnsi="Times New Roman"/>
      <w:sz w:val="24"/>
    </w:rPr>
  </w:style>
  <w:style w:type="character" w:customStyle="1" w:styleId="Heading2Char">
    <w:name w:val="Heading 2 Char"/>
    <w:basedOn w:val="DefaultParagraphFont"/>
    <w:link w:val="Heading2"/>
    <w:uiPriority w:val="9"/>
    <w:rsid w:val="00553B80"/>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767594">
      <w:bodyDiv w:val="1"/>
      <w:marLeft w:val="0"/>
      <w:marRight w:val="0"/>
      <w:marTop w:val="0"/>
      <w:marBottom w:val="0"/>
      <w:divBdr>
        <w:top w:val="none" w:sz="0" w:space="0" w:color="auto"/>
        <w:left w:val="none" w:sz="0" w:space="0" w:color="auto"/>
        <w:bottom w:val="none" w:sz="0" w:space="0" w:color="auto"/>
        <w:right w:val="none" w:sz="0" w:space="0" w:color="auto"/>
      </w:divBdr>
    </w:div>
    <w:div w:id="1444108263">
      <w:bodyDiv w:val="1"/>
      <w:marLeft w:val="0"/>
      <w:marRight w:val="0"/>
      <w:marTop w:val="0"/>
      <w:marBottom w:val="0"/>
      <w:divBdr>
        <w:top w:val="none" w:sz="0" w:space="0" w:color="auto"/>
        <w:left w:val="none" w:sz="0" w:space="0" w:color="auto"/>
        <w:bottom w:val="none" w:sz="0" w:space="0" w:color="auto"/>
        <w:right w:val="none" w:sz="0" w:space="0" w:color="auto"/>
      </w:divBdr>
      <w:divsChild>
        <w:div w:id="2103799548">
          <w:marLeft w:val="0"/>
          <w:marRight w:val="0"/>
          <w:marTop w:val="0"/>
          <w:marBottom w:val="0"/>
          <w:divBdr>
            <w:top w:val="none" w:sz="0" w:space="0" w:color="auto"/>
            <w:left w:val="none" w:sz="0" w:space="0" w:color="auto"/>
            <w:bottom w:val="none" w:sz="0" w:space="0" w:color="auto"/>
            <w:right w:val="none" w:sz="0" w:space="0" w:color="auto"/>
          </w:divBdr>
        </w:div>
      </w:divsChild>
    </w:div>
    <w:div w:id="2067221878">
      <w:bodyDiv w:val="1"/>
      <w:marLeft w:val="0"/>
      <w:marRight w:val="0"/>
      <w:marTop w:val="0"/>
      <w:marBottom w:val="0"/>
      <w:divBdr>
        <w:top w:val="none" w:sz="0" w:space="0" w:color="auto"/>
        <w:left w:val="none" w:sz="0" w:space="0" w:color="auto"/>
        <w:bottom w:val="none" w:sz="0" w:space="0" w:color="auto"/>
        <w:right w:val="none" w:sz="0" w:space="0" w:color="auto"/>
      </w:divBdr>
      <w:divsChild>
        <w:div w:id="10376316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2020-01-10T20:17:00Z</dcterms:created>
  <dcterms:modified xsi:type="dcterms:W3CDTF">2020-01-10T20:17:00Z</dcterms:modified>
</cp:coreProperties>
</file>